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2C" w:rsidRDefault="00915EA2" w:rsidP="00915EA2">
      <w:pPr>
        <w:pBdr>
          <w:top w:val="single" w:sz="4" w:space="1" w:color="auto"/>
          <w:left w:val="single" w:sz="4" w:space="4" w:color="auto"/>
          <w:bottom w:val="single" w:sz="4" w:space="1" w:color="auto"/>
          <w:right w:val="single" w:sz="4" w:space="4" w:color="auto"/>
        </w:pBdr>
        <w:jc w:val="center"/>
        <w:rPr>
          <w:b/>
          <w:sz w:val="32"/>
        </w:rPr>
      </w:pPr>
      <w:r w:rsidRPr="00915EA2">
        <w:rPr>
          <w:b/>
          <w:sz w:val="32"/>
        </w:rPr>
        <w:t>GESTION DE L’HETEROGENEITE : QUELLE DIFFERENCIATION POUR QUELLE DIFFICULTE…</w:t>
      </w:r>
    </w:p>
    <w:p w:rsidR="00915EA2" w:rsidRDefault="00915EA2" w:rsidP="00915EA2">
      <w:pPr>
        <w:pBdr>
          <w:top w:val="single" w:sz="4" w:space="1" w:color="auto"/>
          <w:left w:val="single" w:sz="4" w:space="4" w:color="auto"/>
          <w:bottom w:val="single" w:sz="4" w:space="1" w:color="auto"/>
          <w:right w:val="single" w:sz="4" w:space="4" w:color="auto"/>
        </w:pBdr>
        <w:jc w:val="center"/>
        <w:rPr>
          <w:b/>
          <w:sz w:val="32"/>
        </w:rPr>
      </w:pPr>
      <w:r>
        <w:rPr>
          <w:b/>
          <w:sz w:val="32"/>
        </w:rPr>
        <w:t>Proposition de Rémi Guyot -CPC– 2015</w:t>
      </w:r>
    </w:p>
    <w:p w:rsidR="00915EA2" w:rsidRPr="00915EA2" w:rsidRDefault="00915EA2" w:rsidP="00915EA2">
      <w:pPr>
        <w:jc w:val="center"/>
        <w:rPr>
          <w:b/>
          <w:sz w:val="32"/>
        </w:rPr>
      </w:pPr>
    </w:p>
    <w:tbl>
      <w:tblPr>
        <w:tblStyle w:val="Grilledutableau"/>
        <w:tblW w:w="14283" w:type="dxa"/>
        <w:tblLook w:val="04A0"/>
      </w:tblPr>
      <w:tblGrid>
        <w:gridCol w:w="3070"/>
        <w:gridCol w:w="3071"/>
        <w:gridCol w:w="8142"/>
      </w:tblGrid>
      <w:tr w:rsidR="003944FA" w:rsidRPr="00086F5F" w:rsidTr="003944FA">
        <w:tc>
          <w:tcPr>
            <w:tcW w:w="3070" w:type="dxa"/>
          </w:tcPr>
          <w:p w:rsidR="003944FA" w:rsidRPr="00086F5F" w:rsidRDefault="003944FA" w:rsidP="00086F5F">
            <w:pPr>
              <w:jc w:val="center"/>
              <w:rPr>
                <w:b/>
                <w:sz w:val="28"/>
              </w:rPr>
            </w:pPr>
            <w:r w:rsidRPr="00086F5F">
              <w:rPr>
                <w:b/>
                <w:sz w:val="28"/>
              </w:rPr>
              <w:t>Difficulté visible</w:t>
            </w:r>
          </w:p>
        </w:tc>
        <w:tc>
          <w:tcPr>
            <w:tcW w:w="3071" w:type="dxa"/>
          </w:tcPr>
          <w:p w:rsidR="003944FA" w:rsidRPr="00086F5F" w:rsidRDefault="003944FA" w:rsidP="00086F5F">
            <w:pPr>
              <w:jc w:val="center"/>
              <w:rPr>
                <w:b/>
                <w:sz w:val="28"/>
              </w:rPr>
            </w:pPr>
            <w:r w:rsidRPr="00086F5F">
              <w:rPr>
                <w:b/>
                <w:sz w:val="28"/>
              </w:rPr>
              <w:t>causes</w:t>
            </w:r>
          </w:p>
        </w:tc>
        <w:tc>
          <w:tcPr>
            <w:tcW w:w="8142" w:type="dxa"/>
          </w:tcPr>
          <w:p w:rsidR="003944FA" w:rsidRPr="00086F5F" w:rsidRDefault="003944FA" w:rsidP="00086F5F">
            <w:pPr>
              <w:jc w:val="center"/>
              <w:rPr>
                <w:b/>
                <w:sz w:val="28"/>
              </w:rPr>
            </w:pPr>
            <w:r w:rsidRPr="00086F5F">
              <w:rPr>
                <w:b/>
                <w:sz w:val="28"/>
              </w:rPr>
              <w:t>Mise en œuvre possible de l’enseignant</w:t>
            </w:r>
          </w:p>
        </w:tc>
      </w:tr>
      <w:tr w:rsidR="003944FA" w:rsidTr="003944FA">
        <w:tc>
          <w:tcPr>
            <w:tcW w:w="3070" w:type="dxa"/>
            <w:vMerge w:val="restart"/>
          </w:tcPr>
          <w:p w:rsidR="003944FA" w:rsidRPr="004B414C" w:rsidRDefault="003944FA">
            <w:r w:rsidRPr="004B414C">
              <w:rPr>
                <w:b/>
                <w:i/>
                <w:iCs/>
              </w:rPr>
              <w:t>difficulté à se mettre en activité</w:t>
            </w:r>
          </w:p>
        </w:tc>
        <w:tc>
          <w:tcPr>
            <w:tcW w:w="3071" w:type="dxa"/>
          </w:tcPr>
          <w:p w:rsidR="003944FA" w:rsidRPr="004B414C" w:rsidRDefault="003944FA">
            <w:pPr>
              <w:rPr>
                <w:i/>
                <w:iCs/>
              </w:rPr>
            </w:pPr>
            <w:r w:rsidRPr="004B414C">
              <w:rPr>
                <w:i/>
                <w:iCs/>
              </w:rPr>
              <w:t>Organisation</w:t>
            </w:r>
          </w:p>
          <w:p w:rsidR="003944FA" w:rsidRPr="004B414C" w:rsidRDefault="003944FA"/>
        </w:tc>
        <w:tc>
          <w:tcPr>
            <w:tcW w:w="8142" w:type="dxa"/>
          </w:tcPr>
          <w:p w:rsidR="003944FA" w:rsidRPr="004B414C" w:rsidRDefault="003944FA">
            <w:r w:rsidRPr="004B414C">
              <w:t>- travailler l’écologie de la classe : en ne faisant sortir que le matériel nécessaire, en faisant que ce soit nous ou un camarade des élèves concernés</w:t>
            </w:r>
            <w:r w:rsidR="00086F5F" w:rsidRPr="004B414C">
              <w:t xml:space="preserve"> qui prendraient en charge</w:t>
            </w:r>
            <w:r w:rsidRPr="004B414C">
              <w:t xml:space="preserve"> les problématiques logistiques </w:t>
            </w:r>
          </w:p>
          <w:p w:rsidR="00086F5F" w:rsidRPr="004B414C" w:rsidRDefault="00086F5F">
            <w:r w:rsidRPr="004B414C">
              <w:t>- proposer des outils plus simples d’usage (mais souvent moins souples) : ex. usage d’un cahier partagé plutôt qu’un classeur</w:t>
            </w:r>
          </w:p>
        </w:tc>
      </w:tr>
      <w:tr w:rsidR="003944FA" w:rsidTr="003944FA">
        <w:tc>
          <w:tcPr>
            <w:tcW w:w="3070" w:type="dxa"/>
            <w:vMerge/>
          </w:tcPr>
          <w:p w:rsidR="003944FA" w:rsidRPr="004B414C" w:rsidRDefault="003944FA">
            <w:pPr>
              <w:rPr>
                <w:b/>
                <w:i/>
                <w:iCs/>
              </w:rPr>
            </w:pPr>
          </w:p>
        </w:tc>
        <w:tc>
          <w:tcPr>
            <w:tcW w:w="3071" w:type="dxa"/>
          </w:tcPr>
          <w:p w:rsidR="003944FA" w:rsidRPr="004B414C" w:rsidRDefault="003944FA" w:rsidP="003944FA">
            <w:pPr>
              <w:rPr>
                <w:i/>
                <w:iCs/>
              </w:rPr>
            </w:pPr>
            <w:r w:rsidRPr="004B414C">
              <w:rPr>
                <w:i/>
                <w:iCs/>
              </w:rPr>
              <w:t>Confiance</w:t>
            </w:r>
          </w:p>
          <w:p w:rsidR="003944FA" w:rsidRPr="004B414C" w:rsidRDefault="003944FA">
            <w:pPr>
              <w:rPr>
                <w:i/>
                <w:iCs/>
              </w:rPr>
            </w:pPr>
          </w:p>
        </w:tc>
        <w:tc>
          <w:tcPr>
            <w:tcW w:w="8142" w:type="dxa"/>
          </w:tcPr>
          <w:p w:rsidR="003944FA" w:rsidRPr="004B414C" w:rsidRDefault="00086F5F">
            <w:r w:rsidRPr="004B414C">
              <w:t>- après une passation de consigne proposer à ces quelques élèves de se retrouver avec vous</w:t>
            </w:r>
            <w:r w:rsidR="00195D03" w:rsidRPr="004B414C">
              <w:t xml:space="preserve"> (au tableau ou à une table dédiée)</w:t>
            </w:r>
            <w:r w:rsidRPr="004B414C">
              <w:t xml:space="preserve"> afin d’entamer l’exercice et qu’on puisse leur « renvoyer » toutes les connaissances et la méthodologie qu’ils mettent en œuvre et ser</w:t>
            </w:r>
            <w:r w:rsidR="00195D03" w:rsidRPr="004B414C">
              <w:t>viront à effectuer cet exercice</w:t>
            </w:r>
          </w:p>
          <w:p w:rsidR="00086F5F" w:rsidRPr="004B414C" w:rsidRDefault="00086F5F">
            <w:r w:rsidRPr="004B414C">
              <w:t>- après la passation de consigne passer voir cet élève afin d’avoir un mot rassurant</w:t>
            </w:r>
          </w:p>
          <w:p w:rsidR="00195D03" w:rsidRPr="004B414C" w:rsidRDefault="00195D03">
            <w:r w:rsidRPr="004B414C">
              <w:t>- lors d’une mise en commun renvoyer au groupe la parole d’un élève « peu reconnu » afin d’amener le groupe à le prendre en compte car nous tenons à ce qu’il soit pris en compte comme tout à chacun</w:t>
            </w:r>
          </w:p>
        </w:tc>
      </w:tr>
      <w:tr w:rsidR="003944FA" w:rsidTr="003944FA">
        <w:tc>
          <w:tcPr>
            <w:tcW w:w="3070" w:type="dxa"/>
            <w:vMerge/>
          </w:tcPr>
          <w:p w:rsidR="003944FA" w:rsidRPr="004B414C" w:rsidRDefault="003944FA">
            <w:pPr>
              <w:rPr>
                <w:b/>
                <w:i/>
                <w:iCs/>
              </w:rPr>
            </w:pPr>
          </w:p>
        </w:tc>
        <w:tc>
          <w:tcPr>
            <w:tcW w:w="3071" w:type="dxa"/>
          </w:tcPr>
          <w:p w:rsidR="003944FA" w:rsidRPr="004B414C" w:rsidRDefault="003944FA" w:rsidP="003944FA">
            <w:pPr>
              <w:rPr>
                <w:i/>
                <w:iCs/>
              </w:rPr>
            </w:pPr>
            <w:r w:rsidRPr="004B414C">
              <w:rPr>
                <w:i/>
                <w:iCs/>
              </w:rPr>
              <w:t>Attention</w:t>
            </w:r>
          </w:p>
          <w:p w:rsidR="003944FA" w:rsidRPr="004B414C" w:rsidRDefault="003944FA">
            <w:pPr>
              <w:rPr>
                <w:i/>
                <w:iCs/>
              </w:rPr>
            </w:pPr>
          </w:p>
        </w:tc>
        <w:tc>
          <w:tcPr>
            <w:tcW w:w="8142" w:type="dxa"/>
          </w:tcPr>
          <w:p w:rsidR="003944FA" w:rsidRPr="004B414C" w:rsidRDefault="00086F5F">
            <w:r w:rsidRPr="004B414C">
              <w:t xml:space="preserve">- proposer un support individuel à cet élève </w:t>
            </w:r>
            <w:r w:rsidR="00195D03" w:rsidRPr="004B414C">
              <w:t>si on en a imaginé un collectif</w:t>
            </w:r>
          </w:p>
          <w:p w:rsidR="00086F5F" w:rsidRPr="004B414C" w:rsidRDefault="00086F5F">
            <w:r w:rsidRPr="004B414C">
              <w:t>- exploiter le « lâcher de prénom » (ex. : X commence bien avec nous tout de suite d’accord ?) durant une copie au tableau ou un travail individuel au cours duquel on n’</w:t>
            </w:r>
            <w:r w:rsidR="00195D03" w:rsidRPr="004B414C">
              <w:t>est pas à côté de lui</w:t>
            </w:r>
          </w:p>
        </w:tc>
      </w:tr>
      <w:tr w:rsidR="003944FA" w:rsidTr="003944FA">
        <w:tc>
          <w:tcPr>
            <w:tcW w:w="3070" w:type="dxa"/>
            <w:vMerge/>
          </w:tcPr>
          <w:p w:rsidR="003944FA" w:rsidRPr="004B414C" w:rsidRDefault="003944FA">
            <w:pPr>
              <w:rPr>
                <w:b/>
                <w:i/>
                <w:iCs/>
              </w:rPr>
            </w:pPr>
          </w:p>
        </w:tc>
        <w:tc>
          <w:tcPr>
            <w:tcW w:w="3071" w:type="dxa"/>
          </w:tcPr>
          <w:p w:rsidR="003944FA" w:rsidRPr="004B414C" w:rsidRDefault="003944FA">
            <w:pPr>
              <w:rPr>
                <w:i/>
                <w:iCs/>
              </w:rPr>
            </w:pPr>
            <w:r w:rsidRPr="004B414C">
              <w:rPr>
                <w:i/>
                <w:iCs/>
              </w:rPr>
              <w:t>rapport à l’autre</w:t>
            </w:r>
          </w:p>
        </w:tc>
        <w:tc>
          <w:tcPr>
            <w:tcW w:w="8142" w:type="dxa"/>
          </w:tcPr>
          <w:p w:rsidR="003944FA" w:rsidRPr="004B414C" w:rsidRDefault="00086F5F">
            <w:r w:rsidRPr="004B414C">
              <w:t>- lors d’un travail de groupe, penser les groupes en amont en fonction de certaines affinités de travail</w:t>
            </w:r>
            <w:r w:rsidR="00195D03" w:rsidRPr="004B414C">
              <w:t xml:space="preserve"> ou de capacités de certains élèves à contenir d’autres qui ont une approche spontanée « abrupte » avec les autres</w:t>
            </w:r>
          </w:p>
          <w:p w:rsidR="00195D03" w:rsidRPr="004B414C" w:rsidRDefault="00195D03">
            <w:r w:rsidRPr="004B414C">
              <w:t>- lors d’une mise en commun, démontrer comme un élève a su s’approprier des paroles précédentes pour proposer un énoncé davantage structuré (on rappelle l’intérêt de l’écoute des autres pour se construire son propre savoir)</w:t>
            </w:r>
          </w:p>
          <w:p w:rsidR="00195D03" w:rsidRPr="004B414C" w:rsidRDefault="00195D03">
            <w:r w:rsidRPr="004B414C">
              <w:t>- lors d’une mise en commun renvoyer au groupe la parole d’un élève « peu reconnu » afin d’amener le groupe à le prendre en compte car nous tenons à ce qu’il soit pris en compte comme tout à chacun</w:t>
            </w:r>
          </w:p>
        </w:tc>
      </w:tr>
      <w:tr w:rsidR="00195D03" w:rsidTr="003944FA">
        <w:tc>
          <w:tcPr>
            <w:tcW w:w="3070" w:type="dxa"/>
            <w:vMerge w:val="restart"/>
          </w:tcPr>
          <w:p w:rsidR="00195D03" w:rsidRPr="004B414C" w:rsidRDefault="00195D03">
            <w:r w:rsidRPr="004B414C">
              <w:rPr>
                <w:b/>
                <w:i/>
                <w:iCs/>
              </w:rPr>
              <w:t>difficulté à s’approprier le support de la tâche</w:t>
            </w:r>
            <w:r w:rsidR="004B414C">
              <w:rPr>
                <w:b/>
                <w:i/>
                <w:iCs/>
              </w:rPr>
              <w:t> :</w:t>
            </w:r>
            <w:r w:rsidR="004B414C">
              <w:rPr>
                <w:i/>
                <w:iCs/>
              </w:rPr>
              <w:t xml:space="preserve"> être </w:t>
            </w:r>
            <w:r w:rsidR="004B414C">
              <w:rPr>
                <w:i/>
                <w:iCs/>
              </w:rPr>
              <w:lastRenderedPageBreak/>
              <w:t>parasité dans son activité par des difficultés relevant d’une compétence qui n’est pas l’objectif de la séance (ex. : devoir faire une étude de document textuel en histoire alors qu’on a des difficultés en décodage en lecture)</w:t>
            </w:r>
          </w:p>
        </w:tc>
        <w:tc>
          <w:tcPr>
            <w:tcW w:w="3071" w:type="dxa"/>
          </w:tcPr>
          <w:p w:rsidR="00195D03" w:rsidRPr="004B414C" w:rsidRDefault="00195D03">
            <w:pPr>
              <w:rPr>
                <w:i/>
                <w:iCs/>
              </w:rPr>
            </w:pPr>
            <w:r w:rsidRPr="004B414C">
              <w:rPr>
                <w:i/>
                <w:iCs/>
              </w:rPr>
              <w:lastRenderedPageBreak/>
              <w:t>- difficulté de compréhension de lecture</w:t>
            </w:r>
          </w:p>
        </w:tc>
        <w:tc>
          <w:tcPr>
            <w:tcW w:w="8142" w:type="dxa"/>
          </w:tcPr>
          <w:p w:rsidR="00195D03" w:rsidRDefault="004B414C">
            <w:r>
              <w:t>- adapter la complexité des textes afin que celle-ci ne parasite pas les capacités de l’élève à centrer son attention sur l’objectif de la séance</w:t>
            </w:r>
          </w:p>
          <w:p w:rsidR="004B414C" w:rsidRDefault="004B414C">
            <w:r>
              <w:lastRenderedPageBreak/>
              <w:t>- lire de manière expressive le document</w:t>
            </w:r>
          </w:p>
          <w:p w:rsidR="004B414C" w:rsidRDefault="004B414C">
            <w:r>
              <w:t>- proposer un tutorat ciblé pour lequel le contrat est clair : l’action de tutorat ne s’exerce que pour comprendre le/les texte(s), l’activité faisant l’objet de la séance</w:t>
            </w:r>
            <w:r w:rsidR="00E02198">
              <w:t xml:space="preserve"> ne se fait pas sous forme de tutorat (</w:t>
            </w:r>
            <w:r w:rsidR="00E02198" w:rsidRPr="000B38A5">
              <w:rPr>
                <w:i/>
              </w:rPr>
              <w:t>retour à une activité individuelle si c’est le cas pour le reste de la classe ou en groupe en explicitant bien qu’au moment de la conception d’une solution les rapports sont alors équilibrés car l’élève est alors autant capable que les autres</w:t>
            </w:r>
            <w:r w:rsidR="00E02198">
              <w:t>).</w:t>
            </w:r>
          </w:p>
          <w:p w:rsidR="004B414C" w:rsidRPr="004B414C" w:rsidRDefault="00E02198" w:rsidP="00E02198">
            <w:r>
              <w:t>-proposer une explicitation du sens du texte à ces élèves (si l’objectif de la séance n’est pas l’enseignement de la compréhension en lecture…)</w:t>
            </w:r>
          </w:p>
        </w:tc>
      </w:tr>
      <w:tr w:rsidR="00195D03" w:rsidTr="003944FA">
        <w:tc>
          <w:tcPr>
            <w:tcW w:w="3070" w:type="dxa"/>
            <w:vMerge/>
          </w:tcPr>
          <w:p w:rsidR="00195D03" w:rsidRPr="004B414C" w:rsidRDefault="00195D03">
            <w:pPr>
              <w:rPr>
                <w:b/>
                <w:i/>
                <w:iCs/>
              </w:rPr>
            </w:pPr>
          </w:p>
        </w:tc>
        <w:tc>
          <w:tcPr>
            <w:tcW w:w="3071" w:type="dxa"/>
          </w:tcPr>
          <w:p w:rsidR="00195D03" w:rsidRPr="004B414C" w:rsidRDefault="00195D03">
            <w:pPr>
              <w:rPr>
                <w:i/>
                <w:iCs/>
              </w:rPr>
            </w:pPr>
            <w:r w:rsidRPr="004B414C">
              <w:rPr>
                <w:i/>
                <w:iCs/>
              </w:rPr>
              <w:t>- difficulté de décodage en lecture</w:t>
            </w:r>
          </w:p>
        </w:tc>
        <w:tc>
          <w:tcPr>
            <w:tcW w:w="8142" w:type="dxa"/>
          </w:tcPr>
          <w:p w:rsidR="00E02198" w:rsidRDefault="00E02198" w:rsidP="00E02198">
            <w:r>
              <w:t>- lire le document ou le faire lire à de bons lecteurs à haute voix</w:t>
            </w:r>
          </w:p>
          <w:p w:rsidR="00195D03" w:rsidRPr="004B414C" w:rsidRDefault="00E02198" w:rsidP="00E02198">
            <w:r>
              <w:t>- proposer un tutorat ciblé pour lequel le contrat est clair : l’action de tutorat ne s’exerce que pour la lecture du/des texte(s), l’activité faisant l’objet de la séance ne se fait pas sous forme de tutorat (</w:t>
            </w:r>
            <w:r w:rsidRPr="000B38A5">
              <w:rPr>
                <w:i/>
              </w:rPr>
              <w:t>retour à une activité individuelle si c’est le cas pour le reste de la classe ou en groupe en explicitant bien qu’au moment de la conception d’une solution les rapports sont alors équilibrés car l’élève est alors autant capable que les autres</w:t>
            </w:r>
            <w:r>
              <w:t>)</w:t>
            </w:r>
          </w:p>
        </w:tc>
      </w:tr>
      <w:tr w:rsidR="00195D03" w:rsidTr="003944FA">
        <w:tc>
          <w:tcPr>
            <w:tcW w:w="3070" w:type="dxa"/>
            <w:vMerge/>
          </w:tcPr>
          <w:p w:rsidR="00195D03" w:rsidRPr="004B414C" w:rsidRDefault="00195D03">
            <w:pPr>
              <w:rPr>
                <w:b/>
                <w:i/>
                <w:iCs/>
              </w:rPr>
            </w:pPr>
          </w:p>
        </w:tc>
        <w:tc>
          <w:tcPr>
            <w:tcW w:w="3071" w:type="dxa"/>
          </w:tcPr>
          <w:p w:rsidR="00195D03" w:rsidRPr="004B414C" w:rsidRDefault="00195D03">
            <w:pPr>
              <w:rPr>
                <w:i/>
                <w:iCs/>
              </w:rPr>
            </w:pPr>
            <w:r w:rsidRPr="004B414C">
              <w:rPr>
                <w:i/>
                <w:iCs/>
              </w:rPr>
              <w:t>- lexique passif restreint</w:t>
            </w:r>
          </w:p>
        </w:tc>
        <w:tc>
          <w:tcPr>
            <w:tcW w:w="8142" w:type="dxa"/>
          </w:tcPr>
          <w:p w:rsidR="00195D03" w:rsidRDefault="00E02198">
            <w:r>
              <w:t xml:space="preserve">- proposer un glossaire sous forme adaptée </w:t>
            </w:r>
            <w:r w:rsidR="000B38A5">
              <w:t>(</w:t>
            </w:r>
            <w:r w:rsidR="000B38A5" w:rsidRPr="000B38A5">
              <w:rPr>
                <w:i/>
              </w:rPr>
              <w:t>de</w:t>
            </w:r>
            <w:r w:rsidRPr="000B38A5">
              <w:rPr>
                <w:i/>
              </w:rPr>
              <w:t xml:space="preserve"> type article de dictionnaire simplifié, imagier,…</w:t>
            </w:r>
            <w:r>
              <w:t>)</w:t>
            </w:r>
          </w:p>
          <w:p w:rsidR="00E02198" w:rsidRDefault="00E02198">
            <w:r>
              <w:t>- donner la définition de ces mots aux élèves en ayant besoin avant la lecture ou après la lecture.</w:t>
            </w:r>
          </w:p>
          <w:p w:rsidR="00E02198" w:rsidRPr="004B414C" w:rsidRDefault="00E02198">
            <w:r>
              <w:t>- demander à un élève connaissant de manière certaine ce mot de l’expliquer</w:t>
            </w:r>
          </w:p>
        </w:tc>
      </w:tr>
      <w:tr w:rsidR="00195D03" w:rsidTr="003944FA">
        <w:tc>
          <w:tcPr>
            <w:tcW w:w="3070" w:type="dxa"/>
            <w:vMerge/>
          </w:tcPr>
          <w:p w:rsidR="00195D03" w:rsidRPr="004B414C" w:rsidRDefault="00195D03">
            <w:pPr>
              <w:rPr>
                <w:b/>
                <w:i/>
                <w:iCs/>
              </w:rPr>
            </w:pPr>
          </w:p>
        </w:tc>
        <w:tc>
          <w:tcPr>
            <w:tcW w:w="3071" w:type="dxa"/>
          </w:tcPr>
          <w:p w:rsidR="00195D03" w:rsidRPr="004B414C" w:rsidRDefault="00195D03">
            <w:pPr>
              <w:rPr>
                <w:i/>
                <w:iCs/>
              </w:rPr>
            </w:pPr>
            <w:r w:rsidRPr="004B414C">
              <w:rPr>
                <w:i/>
                <w:iCs/>
              </w:rPr>
              <w:t>- difficulté spécifique en motricité (fine ou pas-EPS</w:t>
            </w:r>
            <w:r w:rsidR="000B38A5">
              <w:rPr>
                <w:i/>
                <w:iCs/>
              </w:rPr>
              <w:t>)</w:t>
            </w:r>
          </w:p>
        </w:tc>
        <w:tc>
          <w:tcPr>
            <w:tcW w:w="8142" w:type="dxa"/>
          </w:tcPr>
          <w:p w:rsidR="00195D03" w:rsidRDefault="00E02198">
            <w:r>
              <w:t xml:space="preserve">- proposer un support ou un outil adapté </w:t>
            </w:r>
            <w:r w:rsidR="00804EB9">
              <w:t>(ardoise</w:t>
            </w:r>
            <w:r w:rsidRPr="000B38A5">
              <w:rPr>
                <w:i/>
              </w:rPr>
              <w:t>, droit à utiliser le crayon à papier,…)</w:t>
            </w:r>
          </w:p>
          <w:p w:rsidR="00E02198" w:rsidRPr="004B414C" w:rsidRDefault="00E02198">
            <w:r>
              <w:t>- adaptation exceptionnelle d’une règle qui n’entrave pas la confrontation à l’enjeu de l’activité (</w:t>
            </w:r>
            <w:r w:rsidRPr="000B38A5">
              <w:rPr>
                <w:i/>
              </w:rPr>
              <w:t>ex. : lors d’un</w:t>
            </w:r>
            <w:r w:rsidR="000B38A5">
              <w:rPr>
                <w:i/>
              </w:rPr>
              <w:t>e</w:t>
            </w:r>
            <w:r w:rsidRPr="000B38A5">
              <w:rPr>
                <w:i/>
              </w:rPr>
              <w:t xml:space="preserve"> séance de basketball</w:t>
            </w:r>
            <w:r w:rsidR="000B38A5" w:rsidRPr="000B38A5">
              <w:rPr>
                <w:i/>
              </w:rPr>
              <w:t>, autoriser le dribble à deux mains et proposer un « marché » à 4 pas au lieu de 2, pour une activité dont l’objectif est d’orienter son déplacement vers sa cible</w:t>
            </w:r>
            <w:r w:rsidR="000B38A5">
              <w:t>)</w:t>
            </w:r>
          </w:p>
        </w:tc>
      </w:tr>
      <w:tr w:rsidR="000B38A5" w:rsidTr="003944FA">
        <w:tc>
          <w:tcPr>
            <w:tcW w:w="3070" w:type="dxa"/>
            <w:vMerge w:val="restart"/>
          </w:tcPr>
          <w:p w:rsidR="000B38A5" w:rsidRPr="004B414C" w:rsidRDefault="000B38A5">
            <w:r w:rsidRPr="004B414C">
              <w:rPr>
                <w:b/>
                <w:i/>
                <w:iCs/>
              </w:rPr>
              <w:t>difficulté à appréhender les concepts disciplinaires mobilisés</w:t>
            </w:r>
          </w:p>
        </w:tc>
        <w:tc>
          <w:tcPr>
            <w:tcW w:w="3071" w:type="dxa"/>
          </w:tcPr>
          <w:p w:rsidR="000B38A5" w:rsidRPr="000B38A5" w:rsidRDefault="000B38A5" w:rsidP="000B38A5">
            <w:pPr>
              <w:rPr>
                <w:i/>
                <w:iCs/>
              </w:rPr>
            </w:pPr>
            <w:r>
              <w:rPr>
                <w:i/>
                <w:iCs/>
              </w:rPr>
              <w:t xml:space="preserve">- </w:t>
            </w:r>
            <w:r w:rsidRPr="004B414C">
              <w:rPr>
                <w:i/>
                <w:iCs/>
              </w:rPr>
              <w:t>connaissan</w:t>
            </w:r>
            <w:r>
              <w:rPr>
                <w:i/>
                <w:iCs/>
              </w:rPr>
              <w:t>ce ou compétence pré requises </w:t>
            </w:r>
            <w:r w:rsidRPr="004B414C">
              <w:rPr>
                <w:i/>
                <w:iCs/>
              </w:rPr>
              <w:t xml:space="preserve">non maîtrisées, </w:t>
            </w:r>
          </w:p>
        </w:tc>
        <w:tc>
          <w:tcPr>
            <w:tcW w:w="8142" w:type="dxa"/>
          </w:tcPr>
          <w:p w:rsidR="000B38A5" w:rsidRDefault="000B38A5">
            <w:r>
              <w:t>- proposer un travail en groupe hétérogène afin que l’élève « naïf » profite de l’expertise ou du compagnonnage des autres, que « l’expert » profite  des remises en questions du savoir qu’il perçoit due aux questions « naïves », que « le compagnon » puisse profiter des réponses simples et des occasions d’expliciter ce qu’il sait pour mieux le maîtriser.</w:t>
            </w:r>
          </w:p>
          <w:p w:rsidR="000B38A5" w:rsidRDefault="000B38A5">
            <w:r>
              <w:t>- proposer un travail avant la séance afin que le ou les élèves puissent reconstruire des éléments prérequis pour la séance (</w:t>
            </w:r>
            <w:r w:rsidRPr="000B38A5">
              <w:rPr>
                <w:i/>
              </w:rPr>
              <w:t>dans le cadre d’activités décrochées avant la séance, des APC en amont,…</w:t>
            </w:r>
            <w:r>
              <w:t>)</w:t>
            </w:r>
          </w:p>
          <w:p w:rsidR="00804EB9" w:rsidRDefault="00804EB9">
            <w:r>
              <w:t>- proposer un groupe de besoin afin de l’accompagner avec un étayage plus soutenu</w:t>
            </w:r>
            <w:bookmarkStart w:id="0" w:name="_GoBack"/>
            <w:bookmarkEnd w:id="0"/>
          </w:p>
          <w:p w:rsidR="00804EB9" w:rsidRPr="004B414C" w:rsidRDefault="00804EB9">
            <w:r>
              <w:t xml:space="preserve">- proposer un matériel varié qui favoriserait des cheminements différents de ceux « classiquement » exploités ou attendus </w:t>
            </w:r>
          </w:p>
        </w:tc>
      </w:tr>
      <w:tr w:rsidR="000B38A5" w:rsidTr="003944FA">
        <w:tc>
          <w:tcPr>
            <w:tcW w:w="3070" w:type="dxa"/>
            <w:vMerge/>
          </w:tcPr>
          <w:p w:rsidR="000B38A5" w:rsidRPr="004B414C" w:rsidRDefault="000B38A5">
            <w:pPr>
              <w:rPr>
                <w:b/>
                <w:i/>
                <w:iCs/>
              </w:rPr>
            </w:pPr>
          </w:p>
        </w:tc>
        <w:tc>
          <w:tcPr>
            <w:tcW w:w="3071" w:type="dxa"/>
          </w:tcPr>
          <w:p w:rsidR="000B38A5" w:rsidRPr="004B414C" w:rsidRDefault="000B38A5">
            <w:pPr>
              <w:rPr>
                <w:i/>
                <w:iCs/>
              </w:rPr>
            </w:pPr>
            <w:r>
              <w:rPr>
                <w:i/>
                <w:iCs/>
              </w:rPr>
              <w:t xml:space="preserve">- </w:t>
            </w:r>
            <w:r w:rsidRPr="004B414C">
              <w:rPr>
                <w:i/>
                <w:iCs/>
              </w:rPr>
              <w:t>connaissan</w:t>
            </w:r>
            <w:r>
              <w:rPr>
                <w:i/>
                <w:iCs/>
              </w:rPr>
              <w:t xml:space="preserve">ce ou compétence </w:t>
            </w:r>
            <w:r w:rsidRPr="004B414C">
              <w:rPr>
                <w:i/>
                <w:iCs/>
              </w:rPr>
              <w:lastRenderedPageBreak/>
              <w:t>non mobilisées spontanément</w:t>
            </w:r>
          </w:p>
        </w:tc>
        <w:tc>
          <w:tcPr>
            <w:tcW w:w="8142" w:type="dxa"/>
          </w:tcPr>
          <w:p w:rsidR="00804EB9" w:rsidRDefault="00804EB9">
            <w:r>
              <w:lastRenderedPageBreak/>
              <w:t>Tous ces éléments peuvent se faire en groupe classe ou en petit groupe :</w:t>
            </w:r>
          </w:p>
          <w:p w:rsidR="000B38A5" w:rsidRDefault="00804EB9">
            <w:r>
              <w:lastRenderedPageBreak/>
              <w:t>- rappeler/ faire rappeler / questionner sur les connaissances utiles dans ce cadre de travail</w:t>
            </w:r>
          </w:p>
          <w:p w:rsidR="00804EB9" w:rsidRDefault="00804EB9">
            <w:r>
              <w:t>- rappeler/ faire rappeler / questionner sur les outils d’aide qu’il serait possible / intéressant d’utiliser</w:t>
            </w:r>
          </w:p>
          <w:p w:rsidR="00804EB9" w:rsidRPr="004B414C" w:rsidRDefault="00804EB9" w:rsidP="00804EB9">
            <w:r>
              <w:t xml:space="preserve">- rappeler/ faire rappeler / questionner sur les liens entre cette séance et les précédentes </w:t>
            </w:r>
          </w:p>
        </w:tc>
      </w:tr>
    </w:tbl>
    <w:p w:rsidR="003944FA" w:rsidRDefault="003944FA"/>
    <w:sectPr w:rsidR="003944FA" w:rsidSect="003944F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hyphenationZone w:val="425"/>
  <w:characterSpacingControl w:val="doNotCompress"/>
  <w:compat/>
  <w:rsids>
    <w:rsidRoot w:val="003944FA"/>
    <w:rsid w:val="00086F5F"/>
    <w:rsid w:val="000B38A5"/>
    <w:rsid w:val="00195D03"/>
    <w:rsid w:val="003944FA"/>
    <w:rsid w:val="003E3DC5"/>
    <w:rsid w:val="004B414C"/>
    <w:rsid w:val="0052433B"/>
    <w:rsid w:val="00787CC6"/>
    <w:rsid w:val="00804EB9"/>
    <w:rsid w:val="00915EA2"/>
    <w:rsid w:val="00D2552C"/>
    <w:rsid w:val="00E021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4FA"/>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4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4FA"/>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4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4936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Rémi GUYOT</dc:creator>
  <cp:lastModifiedBy>RG</cp:lastModifiedBy>
  <cp:revision>2</cp:revision>
  <dcterms:created xsi:type="dcterms:W3CDTF">2016-10-18T20:36:00Z</dcterms:created>
  <dcterms:modified xsi:type="dcterms:W3CDTF">2016-10-18T20:36:00Z</dcterms:modified>
</cp:coreProperties>
</file>